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firstLine="560" w:firstLineChars="20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文部第一次月考历史答案</w:t>
      </w:r>
    </w:p>
    <w:p>
      <w:pPr>
        <w:ind w:left="0" w:firstLine="420" w:firstLineChars="200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7" w:type="dxa"/>
            <w:vAlign w:val="center"/>
          </w:tcPr>
          <w:p>
            <w:pPr>
              <w:ind w:left="0"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37" w:type="dxa"/>
            <w:vAlign w:val="center"/>
          </w:tcPr>
          <w:p>
            <w:pPr>
              <w:ind w:left="0"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37" w:type="dxa"/>
            <w:vAlign w:val="center"/>
          </w:tcPr>
          <w:p>
            <w:pPr>
              <w:ind w:left="0"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37" w:type="dxa"/>
            <w:vAlign w:val="center"/>
          </w:tcPr>
          <w:p>
            <w:pPr>
              <w:ind w:left="0" w:firstLine="0" w:firstLineChars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37" w:type="dxa"/>
            <w:vAlign w:val="center"/>
          </w:tcPr>
          <w:p>
            <w:pPr>
              <w:ind w:left="0" w:firstLine="0" w:firstLineChars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37" w:type="dxa"/>
            <w:vAlign w:val="center"/>
          </w:tcPr>
          <w:p>
            <w:pPr>
              <w:ind w:left="0" w:firstLine="0" w:firstLineChars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37" w:type="dxa"/>
            <w:vAlign w:val="center"/>
          </w:tcPr>
          <w:p>
            <w:pPr>
              <w:ind w:left="0" w:firstLine="0" w:firstLineChars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37" w:type="dxa"/>
            <w:vAlign w:val="center"/>
          </w:tcPr>
          <w:p>
            <w:pPr>
              <w:ind w:left="0" w:firstLine="0" w:firstLineChars="0"/>
              <w:jc w:val="center"/>
            </w:pPr>
            <w:r>
              <w:rPr>
                <w:rFonts w:hint="eastAsi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Align w:val="center"/>
          </w:tcPr>
          <w:p>
            <w:pPr>
              <w:ind w:left="0" w:firstLine="0" w:firstLineChars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037" w:type="dxa"/>
            <w:vAlign w:val="center"/>
          </w:tcPr>
          <w:p>
            <w:pPr>
              <w:ind w:left="0" w:firstLine="0" w:firstLineChars="0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37" w:type="dxa"/>
            <w:vAlign w:val="center"/>
          </w:tcPr>
          <w:p>
            <w:pPr>
              <w:ind w:left="0" w:firstLine="0" w:firstLineChars="0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037" w:type="dxa"/>
            <w:vAlign w:val="center"/>
          </w:tcPr>
          <w:p>
            <w:pPr>
              <w:ind w:left="0" w:firstLine="0" w:firstLineChars="0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037" w:type="dxa"/>
            <w:vAlign w:val="center"/>
          </w:tcPr>
          <w:p>
            <w:pPr>
              <w:ind w:left="0" w:firstLine="0" w:firstLineChars="0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37" w:type="dxa"/>
            <w:vAlign w:val="center"/>
          </w:tcPr>
          <w:p>
            <w:pPr>
              <w:ind w:left="0" w:firstLine="0" w:firstLineChars="0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037" w:type="dxa"/>
            <w:vAlign w:val="center"/>
          </w:tcPr>
          <w:p>
            <w:pPr>
              <w:ind w:left="0" w:firstLine="0" w:firstLineChars="0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037" w:type="dxa"/>
            <w:vAlign w:val="center"/>
          </w:tcPr>
          <w:p>
            <w:pPr>
              <w:ind w:left="0" w:firstLine="0" w:firstLineChars="0"/>
              <w:jc w:val="center"/>
            </w:pPr>
            <w:r>
              <w:rPr>
                <w:rFonts w:hint="eastAsi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Align w:val="center"/>
          </w:tcPr>
          <w:p>
            <w:pPr>
              <w:ind w:left="0" w:firstLine="0" w:firstLineChars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37" w:type="dxa"/>
            <w:vAlign w:val="center"/>
          </w:tcPr>
          <w:p>
            <w:pPr>
              <w:ind w:left="0" w:firstLine="0" w:firstLineChars="0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037" w:type="dxa"/>
            <w:vAlign w:val="center"/>
          </w:tcPr>
          <w:p>
            <w:pPr>
              <w:ind w:left="0" w:firstLine="0" w:firstLineChars="0"/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037" w:type="dxa"/>
            <w:vAlign w:val="center"/>
          </w:tcPr>
          <w:p>
            <w:pPr>
              <w:ind w:left="0" w:firstLine="0" w:firstLineChars="0"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037" w:type="dxa"/>
            <w:vAlign w:val="center"/>
          </w:tcPr>
          <w:p>
            <w:pPr>
              <w:ind w:left="0" w:firstLine="0" w:firstLineChars="0"/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037" w:type="dxa"/>
            <w:vAlign w:val="center"/>
          </w:tcPr>
          <w:p>
            <w:pPr>
              <w:ind w:left="0" w:firstLine="0" w:firstLineChars="0"/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037" w:type="dxa"/>
            <w:vAlign w:val="center"/>
          </w:tcPr>
          <w:p>
            <w:pPr>
              <w:ind w:left="0" w:firstLine="0" w:firstLineChars="0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037" w:type="dxa"/>
            <w:vAlign w:val="center"/>
          </w:tcPr>
          <w:p>
            <w:pPr>
              <w:ind w:left="0" w:firstLine="0" w:firstLineChars="0"/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Align w:val="center"/>
          </w:tcPr>
          <w:p>
            <w:pPr>
              <w:ind w:left="0" w:firstLine="0" w:firstLineChars="0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37" w:type="dxa"/>
            <w:vAlign w:val="center"/>
          </w:tcPr>
          <w:p>
            <w:pPr>
              <w:ind w:left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  <w:bookmarkStart w:id="0" w:name="_GoBack"/>
            <w:bookmarkEnd w:id="0"/>
          </w:p>
        </w:tc>
        <w:tc>
          <w:tcPr>
            <w:tcW w:w="1037" w:type="dxa"/>
            <w:vAlign w:val="center"/>
          </w:tcPr>
          <w:p>
            <w:pPr>
              <w:ind w:left="0" w:firstLine="0" w:firstLineChars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037" w:type="dxa"/>
            <w:vAlign w:val="center"/>
          </w:tcPr>
          <w:p>
            <w:pPr>
              <w:ind w:left="0" w:firstLine="0" w:firstLineChars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037" w:type="dxa"/>
            <w:vAlign w:val="center"/>
          </w:tcPr>
          <w:p>
            <w:pPr>
              <w:ind w:left="0" w:firstLine="0" w:firstLineChars="0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37" w:type="dxa"/>
            <w:vAlign w:val="center"/>
          </w:tcPr>
          <w:p>
            <w:pPr>
              <w:ind w:left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1037" w:type="dxa"/>
            <w:vAlign w:val="center"/>
          </w:tcPr>
          <w:p>
            <w:pPr>
              <w:ind w:left="0" w:firstLine="0" w:firstLineChars="0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037" w:type="dxa"/>
            <w:vAlign w:val="center"/>
          </w:tcPr>
          <w:p>
            <w:pPr>
              <w:ind w:left="0" w:firstLine="0" w:firstLineChars="0"/>
              <w:jc w:val="center"/>
            </w:pPr>
            <w:r>
              <w:rPr>
                <w:rFonts w:hint="eastAsia"/>
              </w:rPr>
              <w:t>C</w:t>
            </w:r>
          </w:p>
        </w:tc>
      </w:tr>
    </w:tbl>
    <w:p>
      <w:pPr>
        <w:ind w:left="0" w:firstLine="420" w:firstLineChars="200"/>
      </w:pPr>
    </w:p>
    <w:p>
      <w:pPr>
        <w:widowControl w:val="0"/>
        <w:spacing w:line="276" w:lineRule="auto"/>
        <w:ind w:left="0" w:firstLine="0" w:firstLineChars="0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/>
        </w:rPr>
        <w:t>1</w:t>
      </w:r>
      <w:r>
        <w:t>7.</w:t>
      </w:r>
      <w:r>
        <w:rPr>
          <w:rFonts w:ascii="宋体" w:hAnsi="宋体" w:eastAsia="宋体" w:cs="宋体"/>
          <w:color w:val="000000"/>
          <w:szCs w:val="21"/>
        </w:rPr>
        <w:t>（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1</w:t>
      </w:r>
      <w:r>
        <w:rPr>
          <w:rFonts w:ascii="宋体" w:hAnsi="宋体" w:eastAsia="宋体" w:cs="宋体"/>
          <w:color w:val="000000"/>
          <w:szCs w:val="21"/>
        </w:rPr>
        <w:t>）</w:t>
      </w:r>
      <w:r>
        <w:rPr>
          <w:rFonts w:hint="eastAsia" w:ascii="宋体" w:hAnsi="宋体" w:eastAsia="宋体" w:cs="宋体"/>
          <w:color w:val="000000"/>
          <w:szCs w:val="21"/>
        </w:rPr>
        <w:t>明朝政府推行“海禁政策”，导致海上贸易活动大为减少，私人的海上走私活动依旧频繁；海禁政策导致倭患的兴起，严重威胁到海防的安全；明朝后期，政府实行“隆庆开关”，东西方贸易规模扩大，白银大量流向中国；受清代的闭关锁国政策的影响，中国的海上贸易虽然扩大不多，依旧保持了相当的规模；西方殖民者的海上活动的日益频繁，传统的朝贡体系和朝贡贸易格局遭到挑战。（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Cs w:val="21"/>
        </w:rPr>
        <w:t>分）</w:t>
      </w:r>
    </w:p>
    <w:p>
      <w:pPr>
        <w:widowControl w:val="0"/>
        <w:spacing w:line="276" w:lineRule="auto"/>
        <w:ind w:left="0" w:firstLine="0" w:firstLineChars="0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ascii="宋体" w:hAnsi="宋体" w:eastAsia="宋体" w:cs="宋体"/>
          <w:color w:val="000000"/>
          <w:szCs w:val="21"/>
        </w:rPr>
        <w:t>（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2</w:t>
      </w:r>
      <w:r>
        <w:rPr>
          <w:rFonts w:ascii="宋体" w:hAnsi="宋体" w:eastAsia="宋体" w:cs="宋体"/>
          <w:color w:val="000000"/>
          <w:szCs w:val="21"/>
        </w:rPr>
        <w:t>）</w:t>
      </w:r>
      <w:r>
        <w:rPr>
          <w:rFonts w:hint="eastAsia" w:ascii="宋体" w:hAnsi="宋体" w:eastAsia="宋体" w:cs="宋体"/>
          <w:color w:val="000000"/>
          <w:szCs w:val="21"/>
        </w:rPr>
        <w:t>原因：对新市场和新航线的积极开拓；成立东印度公司，支持亚洲的殖民和贸易；强大的造船和航海技术、庞大的商船队。（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Cs w:val="21"/>
        </w:rPr>
        <w:t>分）</w:t>
      </w:r>
    </w:p>
    <w:p>
      <w:pPr>
        <w:widowControl w:val="0"/>
        <w:spacing w:line="276" w:lineRule="auto"/>
        <w:ind w:left="210" w:leftChars="100" w:firstLine="210" w:firstLineChars="100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启示：重视海洋权益和海洋的开发和利用；保持对外开放和积极拓展海上贸易活动；</w:t>
      </w:r>
    </w:p>
    <w:p>
      <w:pPr>
        <w:widowControl w:val="0"/>
        <w:spacing w:line="276" w:lineRule="auto"/>
        <w:ind w:left="99" w:leftChars="47" w:firstLine="0" w:firstLineChars="0"/>
        <w:jc w:val="left"/>
        <w:textAlignment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海权观念和海上贸易理念相结合，注重依靠国家综合力量和海上军事力量保护海上贸易活动。（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Cs w:val="21"/>
        </w:rPr>
        <w:t>分）</w:t>
      </w:r>
    </w:p>
    <w:p>
      <w:pPr>
        <w:widowControl w:val="0"/>
        <w:spacing w:line="276" w:lineRule="auto"/>
        <w:ind w:left="99" w:leftChars="47" w:firstLine="0" w:firstLineChars="0"/>
        <w:jc w:val="left"/>
        <w:textAlignment w:val="center"/>
        <w:rPr>
          <w:rFonts w:hint="eastAsia" w:ascii="宋体" w:hAnsi="宋体" w:eastAsia="宋体" w:cs="宋体"/>
          <w:color w:val="000000"/>
          <w:szCs w:val="21"/>
        </w:rPr>
      </w:pPr>
    </w:p>
    <w:p>
      <w:pPr>
        <w:widowControl w:val="0"/>
        <w:autoSpaceDE w:val="0"/>
        <w:spacing w:line="276" w:lineRule="auto"/>
        <w:ind w:left="0" w:firstLine="0" w:firstLineChars="0"/>
        <w:rPr>
          <w:rFonts w:hint="default" w:ascii="宋体" w:hAnsi="宋体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18.(1)从主要学习技艺到全方位向西方学习；从服务于晚清政府到投身于社会革命；由政府派遣到多渠道留学，人数由少到多。（6分）</w:t>
      </w:r>
    </w:p>
    <w:p>
      <w:pPr>
        <w:widowControl w:val="0"/>
        <w:autoSpaceDE w:val="0"/>
        <w:spacing w:line="276" w:lineRule="auto"/>
        <w:ind w:left="0" w:firstLine="0" w:firstLineChars="0"/>
        <w:rPr>
          <w:rFonts w:hint="eastAsia" w:ascii="宋体" w:hAnsi="宋体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(2)中华人民共和国成立，百废待兴，急需建设人才；国家高度重视，成立专机构妥善安排；留学生的爱国情怀和报国热忱。（6分）</w:t>
      </w:r>
    </w:p>
    <w:p>
      <w:pPr>
        <w:widowControl w:val="0"/>
        <w:autoSpaceDE w:val="0"/>
        <w:spacing w:line="276" w:lineRule="auto"/>
        <w:ind w:left="0" w:firstLine="0" w:firstLineChars="0"/>
        <w:rPr>
          <w:rFonts w:hint="default" w:ascii="宋体" w:hAnsi="宋体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left="420" w:hanging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</w:t>
      </w:r>
      <w:r>
        <w:rPr>
          <w:rFonts w:hint="eastAsia" w:ascii="宋体" w:hAnsi="宋体" w:eastAsia="宋体"/>
          <w:lang w:val="en-US" w:eastAsia="zh-CN"/>
        </w:rPr>
        <w:t>9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主题2分；从至少两个角度对主题展开论证，每段论证4分，其中史实充实准确2分，论证逻辑严密2分；总体评价2分。</w:t>
      </w:r>
    </w:p>
    <w:p>
      <w:pPr>
        <w:spacing w:line="276" w:lineRule="auto"/>
        <w:ind w:left="420" w:leftChars="200" w:firstLine="0" w:firstLineChar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【示例】</w:t>
      </w:r>
    </w:p>
    <w:p>
      <w:pPr>
        <w:spacing w:line="276" w:lineRule="auto"/>
        <w:ind w:left="420" w:leftChars="200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第二单元：从草原、中原、江南的三重联动到文明的新辉煌魏晋南北朝隋唐时期各民族</w:t>
      </w:r>
    </w:p>
    <w:p>
      <w:pPr>
        <w:spacing w:line="276" w:lineRule="auto"/>
        <w:ind w:left="238" w:leftChars="18" w:firstLineChar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的交流、交往、交融推动了隋唐盛世的出现。</w:t>
      </w:r>
    </w:p>
    <w:p>
      <w:pPr>
        <w:spacing w:line="276" w:lineRule="auto"/>
        <w:ind w:left="420" w:leftChars="200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魏晋以来，北方少数民族再同中原地区的交往过程中，既伴随了对中原地区的冲击，如</w:t>
      </w:r>
    </w:p>
    <w:p>
      <w:pPr>
        <w:spacing w:line="276" w:lineRule="auto"/>
        <w:ind w:left="97" w:leftChars="46" w:firstLine="0" w:firstLineChar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十六国中大部分为少数民族建立的政权，也带来了双方的和平交流与融合，如北魏孝文帝改革。正如陈寅恪先生之意：李唐王朝兴盛，是取塞外野蛮精悍之血，注入中原文化颓废之躯，进而开创了盛世局面。</w:t>
      </w:r>
    </w:p>
    <w:p>
      <w:pPr>
        <w:spacing w:line="276" w:lineRule="auto"/>
        <w:ind w:left="420" w:leftChars="200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唐朝继承了北魏的诸多制度，例如维护小农经济的均田制，建立在均田制基础上的租庸</w:t>
      </w:r>
    </w:p>
    <w:p>
      <w:pPr>
        <w:spacing w:line="276" w:lineRule="auto"/>
        <w:ind w:left="99" w:leftChars="47" w:firstLine="0" w:firstLineChar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调制，一定程度放松了对农民的人身控制，在经济繁荣的支撑下，思想文化蓬勃发展，儒、释、道延续了前代并存交融的局面，唐诗展现了唐朝各方面的气象，在民族交往与对外交往上，展现出中华文明的强大影响力。</w:t>
      </w:r>
    </w:p>
    <w:p>
      <w:pPr>
        <w:spacing w:line="276" w:lineRule="auto"/>
        <w:ind w:left="420" w:leftChars="200" w:firstLine="0" w:firstLineChar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综上所述，隋唐盛世的到来离不开对前代优秀传统的继承与适应时代的革新。</w:t>
      </w:r>
    </w:p>
    <w:p>
      <w:pPr>
        <w:widowControl w:val="0"/>
        <w:spacing w:line="276" w:lineRule="auto"/>
        <w:ind w:left="0" w:firstLine="0" w:firstLineChars="0"/>
        <w:textAlignment w:val="center"/>
      </w:pPr>
    </w:p>
    <w:p>
      <w:pPr>
        <w:widowControl w:val="0"/>
        <w:spacing w:line="276" w:lineRule="auto"/>
        <w:ind w:left="0" w:firstLine="0" w:firstLineChars="0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/>
          <w:lang w:val="en-US" w:eastAsia="zh-CN"/>
        </w:rPr>
        <w:t>20</w:t>
      </w:r>
      <w:r>
        <w:t>.</w:t>
      </w:r>
      <w:r>
        <w:rPr>
          <w:rFonts w:ascii="宋体" w:hAnsi="宋体" w:eastAsia="宋体" w:cs="宋体"/>
          <w:color w:val="000000"/>
          <w:szCs w:val="21"/>
        </w:rPr>
        <w:t>（1）</w:t>
      </w:r>
      <w:r>
        <w:rPr>
          <w:rFonts w:hint="eastAsia" w:ascii="宋体" w:hAnsi="宋体" w:eastAsia="宋体" w:cs="宋体"/>
          <w:color w:val="000000"/>
          <w:szCs w:val="21"/>
        </w:rPr>
        <w:t>特点：以人民为中心；服务于社会主义革命和建设；涉及内容广泛。</w:t>
      </w:r>
    </w:p>
    <w:p>
      <w:pPr>
        <w:widowControl w:val="0"/>
        <w:spacing w:line="276" w:lineRule="auto"/>
        <w:ind w:left="0" w:firstLine="420" w:firstLineChars="200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影响：丰富了人民的文化生活；巩固了党对意识形态建设的领导；推动了经济与社会的协调发展；对中华民族的精神面貌产生了巨大的影响。</w:t>
      </w:r>
      <w:r>
        <w:rPr>
          <w:rFonts w:ascii="宋体" w:hAnsi="宋体" w:eastAsia="宋体" w:cs="宋体"/>
          <w:color w:val="000000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szCs w:val="21"/>
        </w:rPr>
        <w:t>（1</w:t>
      </w:r>
      <w:r>
        <w:rPr>
          <w:rFonts w:ascii="宋体" w:hAnsi="宋体" w:eastAsia="宋体" w:cs="宋体"/>
          <w:color w:val="000000"/>
          <w:szCs w:val="21"/>
        </w:rPr>
        <w:t>0</w:t>
      </w:r>
      <w:r>
        <w:rPr>
          <w:rFonts w:hint="eastAsia" w:ascii="宋体" w:hAnsi="宋体" w:eastAsia="宋体" w:cs="宋体"/>
          <w:color w:val="000000"/>
          <w:szCs w:val="21"/>
        </w:rPr>
        <w:t>分）</w:t>
      </w:r>
    </w:p>
    <w:p>
      <w:pPr>
        <w:widowControl w:val="0"/>
        <w:spacing w:line="276" w:lineRule="auto"/>
        <w:ind w:left="210" w:leftChars="100" w:firstLine="420" w:firstLineChars="200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ascii="宋体" w:hAnsi="宋体" w:eastAsia="宋体" w:cs="宋体"/>
          <w:color w:val="000000"/>
          <w:szCs w:val="21"/>
        </w:rPr>
        <w:t>（2）</w:t>
      </w:r>
      <w:r>
        <w:rPr>
          <w:rFonts w:hint="eastAsia" w:ascii="宋体" w:hAnsi="宋体" w:eastAsia="宋体" w:cs="宋体"/>
          <w:color w:val="000000"/>
          <w:szCs w:val="21"/>
        </w:rPr>
        <w:t>启示：坚持正确的精神文明导向；坚持党对精神文明建设的领导；服务于国家发展的需要；以人民利益为重；自觉抵制错误思想。（</w:t>
      </w:r>
      <w:r>
        <w:rPr>
          <w:rFonts w:ascii="宋体" w:hAnsi="宋体" w:eastAsia="宋体" w:cs="宋体"/>
          <w:color w:val="000000"/>
          <w:szCs w:val="21"/>
        </w:rPr>
        <w:t>5</w:t>
      </w:r>
      <w:r>
        <w:rPr>
          <w:rFonts w:hint="eastAsia" w:ascii="宋体" w:hAnsi="宋体" w:eastAsia="宋体" w:cs="宋体"/>
          <w:color w:val="000000"/>
          <w:szCs w:val="21"/>
        </w:rPr>
        <w:t>分）</w:t>
      </w:r>
    </w:p>
    <w:p>
      <w:pPr>
        <w:spacing w:line="276" w:lineRule="auto"/>
        <w:ind w:left="0" w:firstLine="420" w:firstLineChars="200"/>
        <w:rPr>
          <w:rFonts w:ascii="宋体" w:hAnsi="宋体" w:eastAsia="宋体"/>
        </w:rPr>
      </w:pPr>
    </w:p>
    <w:p>
      <w:pPr>
        <w:spacing w:line="276" w:lineRule="auto"/>
        <w:ind w:left="0" w:firstLine="420" w:firstLineChars="200"/>
        <w:rPr>
          <w:rFonts w:hint="eastAsia" w:ascii="宋体" w:hAnsi="宋体" w:eastAsia="宋体"/>
        </w:rPr>
      </w:pPr>
    </w:p>
    <w:p>
      <w:pPr>
        <w:spacing w:line="276" w:lineRule="auto"/>
        <w:ind w:left="0" w:firstLine="420" w:firstLineChars="200"/>
        <w:rPr>
          <w:rFonts w:hint="eastAsia" w:ascii="宋体" w:hAnsi="宋体" w:eastAsia="宋体"/>
        </w:rPr>
      </w:pPr>
    </w:p>
    <w:p>
      <w:pPr>
        <w:ind w:left="0" w:firstLine="420" w:firstLineChars="200"/>
      </w:pPr>
    </w:p>
    <w:p>
      <w:pPr>
        <w:ind w:left="0" w:firstLine="420" w:firstLineChars="200"/>
      </w:pPr>
    </w:p>
    <w:p>
      <w:pPr>
        <w:ind w:left="0" w:firstLine="420" w:firstLineChars="200"/>
      </w:pPr>
    </w:p>
    <w:p>
      <w:pPr>
        <w:ind w:left="0" w:firstLine="420" w:firstLineChars="200"/>
      </w:pPr>
    </w:p>
    <w:p>
      <w:pPr>
        <w:ind w:left="0" w:firstLine="420" w:firstLineChars="200"/>
      </w:pPr>
    </w:p>
    <w:p>
      <w:pPr>
        <w:ind w:left="0" w:firstLine="420" w:firstLineChars="200"/>
      </w:pPr>
    </w:p>
    <w:p>
      <w:pPr>
        <w:ind w:left="0" w:firstLine="420" w:firstLineChars="200"/>
        <w:rPr>
          <w:rFonts w:hint="eastAs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hanging="420"/>
      </w:pPr>
      <w:r>
        <w:separator/>
      </w:r>
    </w:p>
  </w:endnote>
  <w:endnote w:type="continuationSeparator" w:id="1">
    <w:p>
      <w:pPr>
        <w:ind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hanging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hanging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hanging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hanging="420"/>
      </w:pPr>
      <w:r>
        <w:separator/>
      </w:r>
    </w:p>
  </w:footnote>
  <w:footnote w:type="continuationSeparator" w:id="1">
    <w:p>
      <w:pPr>
        <w:ind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60" w:hanging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60" w:hanging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60" w:hanging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xOTNhMGRkMjk3MGEzNmY1ZjMwOGExOTY5OWU0YjUifQ=="/>
  </w:docVars>
  <w:rsids>
    <w:rsidRoot w:val="00D53EC9"/>
    <w:rsid w:val="004F0DC5"/>
    <w:rsid w:val="00CA3678"/>
    <w:rsid w:val="00D53EC9"/>
    <w:rsid w:val="00F90592"/>
    <w:rsid w:val="497F30A5"/>
    <w:rsid w:val="7555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left="200" w:hanging="200" w:hanging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1060</Words>
  <Characters>1081</Characters>
  <Lines>8</Lines>
  <Paragraphs>2</Paragraphs>
  <TotalTime>22</TotalTime>
  <ScaleCrop>false</ScaleCrop>
  <LinksUpToDate>false</LinksUpToDate>
  <CharactersWithSpaces>1082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2023-03-12T08:42:00Z</dcterms:created>
  <dc:creator>周 长森</dc:creator>
  <cp:lastModifiedBy>北城</cp:lastModifiedBy>
  <dcterms:modified xsi:type="dcterms:W3CDTF">2023-03-14T10:13:04Z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A5281BD7557B4FD39E2FCDE7E3D4F4A8</vt:lpwstr>
  </property>
</Properties>
</file>