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Hans"/>
        </w:rPr>
        <w:t>昆八中</w:t>
      </w:r>
      <w:r>
        <w:rPr>
          <w:rFonts w:hint="eastAsia" w:ascii="宋体" w:hAnsi="宋体" w:eastAsia="宋体" w:cs="宋体"/>
          <w:b/>
          <w:sz w:val="28"/>
          <w:szCs w:val="28"/>
        </w:rPr>
        <w:t>202</w:t>
      </w:r>
      <w:r>
        <w:rPr>
          <w:rFonts w:hint="eastAsia" w:ascii="宋体" w:hAnsi="宋体" w:cs="宋体"/>
          <w:b/>
          <w:sz w:val="28"/>
          <w:szCs w:val="28"/>
          <w:lang w:val="en-US" w:eastAsia="zh-CN"/>
        </w:rPr>
        <w:t>2</w:t>
      </w:r>
      <w:r>
        <w:rPr>
          <w:rFonts w:hint="eastAsia" w:ascii="宋体" w:hAnsi="宋体" w:eastAsia="宋体" w:cs="宋体"/>
          <w:b/>
          <w:sz w:val="28"/>
          <w:szCs w:val="28"/>
        </w:rPr>
        <w:t>—202</w:t>
      </w:r>
      <w:r>
        <w:rPr>
          <w:rFonts w:hint="eastAsia" w:ascii="宋体" w:hAnsi="宋体" w:cs="宋体"/>
          <w:b/>
          <w:sz w:val="28"/>
          <w:szCs w:val="28"/>
          <w:lang w:val="en-US" w:eastAsia="zh-CN"/>
        </w:rPr>
        <w:t>3</w:t>
      </w:r>
      <w:r>
        <w:rPr>
          <w:rFonts w:hint="eastAsia" w:ascii="宋体" w:hAnsi="宋体" w:eastAsia="宋体" w:cs="宋体"/>
          <w:b/>
          <w:sz w:val="28"/>
          <w:szCs w:val="28"/>
          <w:lang w:val="en-US" w:eastAsia="zh-Hans"/>
        </w:rPr>
        <w:t>学年度</w:t>
      </w:r>
      <w:r>
        <w:rPr>
          <w:rFonts w:hint="eastAsia" w:ascii="宋体" w:hAnsi="宋体" w:cs="宋体"/>
          <w:b/>
          <w:sz w:val="28"/>
          <w:szCs w:val="28"/>
          <w:lang w:val="en-US" w:eastAsia="zh-CN"/>
        </w:rPr>
        <w:t>下</w:t>
      </w:r>
      <w:r>
        <w:rPr>
          <w:rFonts w:hint="eastAsia" w:ascii="宋体" w:hAnsi="宋体" w:eastAsia="宋体" w:cs="宋体"/>
          <w:b/>
          <w:sz w:val="28"/>
          <w:szCs w:val="28"/>
          <w:lang w:val="en-US" w:eastAsia="zh-Hans"/>
        </w:rPr>
        <w:t>学期月考</w:t>
      </w:r>
      <w:r>
        <w:rPr>
          <w:rFonts w:hint="eastAsia" w:ascii="宋体" w:hAnsi="宋体" w:cs="宋体"/>
          <w:b/>
          <w:sz w:val="28"/>
          <w:szCs w:val="28"/>
          <w:lang w:val="en-US" w:eastAsia="zh-CN"/>
        </w:rPr>
        <w:t>一</w:t>
      </w:r>
    </w:p>
    <w:p>
      <w:pPr>
        <w:shd w:val="clear" w:color="auto" w:fill="auto"/>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Hans"/>
        </w:rPr>
        <w:t>高</w:t>
      </w:r>
      <w:r>
        <w:rPr>
          <w:rFonts w:hint="eastAsia" w:ascii="黑体" w:hAnsi="黑体" w:eastAsia="黑体" w:cs="黑体"/>
          <w:b/>
          <w:sz w:val="44"/>
          <w:szCs w:val="44"/>
          <w:lang w:val="en-US" w:eastAsia="zh-CN"/>
        </w:rPr>
        <w:t>一</w:t>
      </w:r>
      <w:r>
        <w:rPr>
          <w:rFonts w:hint="eastAsia" w:ascii="黑体" w:hAnsi="黑体" w:eastAsia="黑体" w:cs="黑体"/>
          <w:b/>
          <w:sz w:val="44"/>
          <w:szCs w:val="44"/>
          <w:lang w:val="en-US" w:eastAsia="zh-Hans"/>
        </w:rPr>
        <w:t>地理</w:t>
      </w:r>
      <w:r>
        <w:rPr>
          <w:rFonts w:hint="eastAsia" w:ascii="黑体" w:hAnsi="黑体" w:eastAsia="黑体" w:cs="黑体"/>
          <w:b/>
          <w:sz w:val="44"/>
          <w:szCs w:val="44"/>
          <w:lang w:val="en-US" w:eastAsia="zh-CN"/>
        </w:rPr>
        <w:t>参考答案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1</w:t>
            </w:r>
          </w:p>
        </w:tc>
        <w:tc>
          <w:tcPr>
            <w:tcW w:w="1231"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2</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3</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4</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6</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7</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cs="Times New Roman"/>
                <w:lang w:val="en-US" w:eastAsia="zh-CN"/>
              </w:rPr>
              <w:t>B</w:t>
            </w:r>
          </w:p>
        </w:tc>
        <w:tc>
          <w:tcPr>
            <w:tcW w:w="1231"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C</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A</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C</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C</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A</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C</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9</w:t>
            </w:r>
          </w:p>
        </w:tc>
        <w:tc>
          <w:tcPr>
            <w:tcW w:w="1231"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11</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12</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13</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14</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15</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A</w:t>
            </w:r>
          </w:p>
        </w:tc>
        <w:tc>
          <w:tcPr>
            <w:tcW w:w="1231"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A</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C</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D</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D</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B</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A</w:t>
            </w:r>
          </w:p>
        </w:tc>
        <w:tc>
          <w:tcPr>
            <w:tcW w:w="1232" w:type="dxa"/>
          </w:tcPr>
          <w:p>
            <w:pPr>
              <w:shd w:val="clear" w:color="auto" w:fill="auto"/>
              <w:spacing w:line="360" w:lineRule="auto"/>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D</w:t>
            </w:r>
          </w:p>
        </w:tc>
      </w:tr>
    </w:tbl>
    <w:p>
      <w:pPr>
        <w:shd w:val="clear" w:color="auto" w:fill="auto"/>
        <w:spacing w:line="360" w:lineRule="auto"/>
        <w:jc w:val="left"/>
        <w:textAlignment w:val="center"/>
      </w:pPr>
      <w:r>
        <w:t>1．B    2．C</w:t>
      </w:r>
    </w:p>
    <w:p>
      <w:pPr>
        <w:shd w:val="clear" w:color="auto" w:fill="auto"/>
        <w:spacing w:line="360" w:lineRule="auto"/>
        <w:jc w:val="left"/>
        <w:textAlignment w:val="center"/>
      </w:pPr>
      <w:r>
        <w:t>1．贵州地处我国东部季风气候区，读图可知，该地太阳能资源属于可利用区，不在丰富区，①不符合题意；该地为海拔两千多米的山区，有少量村庄分布，并据材料有农民工回流，推测可得②③符合题意，有稀疏的公路线分布，交通不发达，④不符合题意；因此B正确，排除ACD。故选B。</w:t>
      </w:r>
    </w:p>
    <w:p>
      <w:pPr>
        <w:shd w:val="clear" w:color="auto" w:fill="auto"/>
        <w:spacing w:line="360" w:lineRule="auto"/>
        <w:jc w:val="left"/>
        <w:textAlignment w:val="center"/>
      </w:pPr>
      <w:r>
        <w:t>2．该地对外交通不便，不适合发展数字经济，①不符合题意；冶炼工业有大宗货物运输需求并占地广，该地不适合，②不符合题意；作为“2016年建设的首个农业光伏电站，发展畜牧、蔬菜等‘板’下经济”，不仅有利于退耕还林，还可以提供就业机会，增加收入，因此③④符合题意。因此C正确，排除ABD。故选C。</w:t>
      </w:r>
    </w:p>
    <w:p>
      <w:pPr>
        <w:shd w:val="clear" w:color="auto" w:fill="auto"/>
        <w:spacing w:line="360" w:lineRule="auto"/>
        <w:jc w:val="left"/>
        <w:textAlignment w:val="center"/>
      </w:pPr>
      <w:r>
        <w:t>3．A    4．C    5．C</w:t>
      </w:r>
    </w:p>
    <w:p>
      <w:pPr>
        <w:shd w:val="clear" w:color="auto" w:fill="auto"/>
        <w:spacing w:line="360" w:lineRule="auto"/>
        <w:jc w:val="left"/>
        <w:textAlignment w:val="center"/>
      </w:pPr>
      <w:r>
        <w:t>3．材料信息显示，该地冬春季节气候干旱，多大风，大风携带沙洲和河漫滩上的沙粒，受江边地形阻挡，风速减缓，沙粒堆积于山坡，日积月累形成沙丘，不是流水或者冰川堆积形成，A正确，BC错误。此地距海较远，没有海浪作用，D错误。故选A。</w:t>
      </w:r>
    </w:p>
    <w:p>
      <w:pPr>
        <w:shd w:val="clear" w:color="auto" w:fill="auto"/>
        <w:spacing w:line="360" w:lineRule="auto"/>
        <w:jc w:val="left"/>
        <w:textAlignment w:val="center"/>
      </w:pPr>
      <w:r>
        <w:t>4．材料信息显示，雅鲁藏布江水位季节变化大，因为该地降水集中在6-9月份，可知该地冬春季节降水少，河流水位较低，河滩和沙洲便裸露出来，成为沙丘的沙源，C正确。附近山脉没有沙源，青藏高原土壤不疏松，AB错误。塔克拉玛干沙漠距离雅鲁藏布大峡谷较远，且受重重山脉阻挡，不会成为该地的沙源，D错误。故选C。</w:t>
      </w:r>
    </w:p>
    <w:p>
      <w:pPr>
        <w:shd w:val="clear" w:color="auto" w:fill="auto"/>
        <w:spacing w:line="360" w:lineRule="auto"/>
        <w:jc w:val="left"/>
        <w:textAlignment w:val="center"/>
      </w:pPr>
      <w:r>
        <w:t>5．沙丘迎风坡一侧坡度较缓，背风坡一侧坡度较陡，排除AD。受风力作用影响，沙丘由河漫滩向河流北岸山麓移动，即由低向高处移动，C正确，B错误。故选C。</w:t>
      </w:r>
    </w:p>
    <w:p>
      <w:pPr>
        <w:shd w:val="clear" w:color="auto" w:fill="auto"/>
        <w:spacing w:line="360" w:lineRule="auto"/>
        <w:jc w:val="left"/>
        <w:textAlignment w:val="center"/>
      </w:pPr>
      <w:r>
        <w:t>6．A    7．C    8．C</w:t>
      </w:r>
    </w:p>
    <w:p>
      <w:pPr>
        <w:shd w:val="clear" w:color="auto" w:fill="auto"/>
        <w:spacing w:line="360" w:lineRule="auto"/>
        <w:jc w:val="left"/>
        <w:textAlignment w:val="center"/>
      </w:pPr>
      <w:r>
        <w:t>6．海水温度从赤道向两极递减，北方海区比南方海区水温低，且符合”水温适宜“的生长条件，A正确；海水盐度从副热带向南北递减，北方海区比南方海区盐度低，B错误；风浪大小与远海、近海有关，与纬度因素无关，C错误；我国南方和北方海洋污染没有明显差异，D错误。故选A。</w:t>
      </w:r>
    </w:p>
    <w:p>
      <w:pPr>
        <w:shd w:val="clear" w:color="auto" w:fill="auto"/>
        <w:spacing w:line="360" w:lineRule="auto"/>
        <w:jc w:val="left"/>
        <w:textAlignment w:val="center"/>
      </w:pPr>
      <w:r>
        <w:t>7．接连暴雨导致大量淡水涌入海水，使得海水盐度骤降，改变了海带的生存环境，导致海带大面积腐烂，C正确；降水会导致当地太阳光照减弱，但不会完全阻挡太阳光照，对海带对影响较小，A错误；海上的暴雨降水对海水温度的影响较小，B错误；暴雨不一定有大风，不会使得海水风浪大，D错误。故选C。</w:t>
      </w:r>
    </w:p>
    <w:p>
      <w:pPr>
        <w:shd w:val="clear" w:color="auto" w:fill="auto"/>
        <w:spacing w:line="360" w:lineRule="auto"/>
        <w:jc w:val="left"/>
        <w:textAlignment w:val="center"/>
      </w:pPr>
      <w:r>
        <w:t>8．应对此类灾害的核心在于给海带的生长提供较为稳定的海水环境，海面架设人造光源仅提供了光照，无法稳定海水的盐度，A错误；将养殖区向南部海区转移会越过海带的养殖南界，没有起到稳定海水盐度的作用，B错误；在敖江修建拦水坝可以人工建设海带养殖区，通过人工监测和调节水坝内的盐度，C正确；在养殖区外海修建防波堤只能降低风浪的大小，不能起到盐度调节作用，D错误。因此选择C项。</w:t>
      </w:r>
    </w:p>
    <w:p>
      <w:pPr>
        <w:shd w:val="clear" w:color="auto" w:fill="auto"/>
        <w:spacing w:line="360" w:lineRule="auto"/>
        <w:jc w:val="left"/>
        <w:textAlignment w:val="center"/>
      </w:pPr>
      <w:r>
        <w:rPr>
          <w:rFonts w:hint="eastAsia"/>
          <w:lang w:val="en-US" w:eastAsia="zh-CN"/>
        </w:rPr>
        <w:t>9</w:t>
      </w:r>
      <w:r>
        <w:t>．A    1</w:t>
      </w:r>
      <w:r>
        <w:rPr>
          <w:rFonts w:hint="eastAsia"/>
          <w:lang w:val="en-US" w:eastAsia="zh-CN"/>
        </w:rPr>
        <w:t>0</w:t>
      </w:r>
      <w:r>
        <w:t>．A</w:t>
      </w:r>
    </w:p>
    <w:p>
      <w:pPr>
        <w:shd w:val="clear" w:color="auto" w:fill="auto"/>
        <w:spacing w:line="360" w:lineRule="auto"/>
        <w:jc w:val="left"/>
        <w:textAlignment w:val="center"/>
      </w:pPr>
      <w:r>
        <w:rPr>
          <w:rFonts w:hint="eastAsia"/>
          <w:lang w:val="en-US" w:eastAsia="zh-CN"/>
        </w:rPr>
        <w:t>9</w:t>
      </w:r>
      <w:r>
        <w:t xml:space="preserve">．岩石经过风化变成成土母质，成土母质是矿物质的主要来源，故②是成土母质，B、C错误；有机质经过微生物分解变为腐殖质，①为腐殖质，D错误；A正确。故选A。 </w:t>
      </w:r>
    </w:p>
    <w:p>
      <w:pPr>
        <w:shd w:val="clear" w:color="auto" w:fill="auto"/>
        <w:spacing w:line="360" w:lineRule="auto"/>
        <w:jc w:val="left"/>
        <w:textAlignment w:val="center"/>
      </w:pPr>
      <w:r>
        <w:rPr>
          <w:rFonts w:hint="eastAsia"/>
          <w:lang w:val="en-US" w:eastAsia="zh-CN"/>
        </w:rPr>
        <w:t>10</w:t>
      </w:r>
      <w:r>
        <w:t xml:space="preserve">．同一地区，山顶气温较低、水分较少，风化作用较弱，细小风化物容易流失，成土母质颗粒粗；山前平原气温较高，水分较多，风化作用较强，且易堆积细小风化物，成土母质颗粒较细。因此，从山顶到低平洼地，成土母质颗粒存在由粗到细的变化规律， 土壤类型依次分布着砾质土、砂土、壤土和黏土， A正确，B、C、D错误， 故选A。 </w:t>
      </w:r>
    </w:p>
    <w:p>
      <w:pPr>
        <w:shd w:val="clear" w:color="auto" w:fill="auto"/>
        <w:spacing w:line="360" w:lineRule="auto"/>
        <w:jc w:val="left"/>
        <w:textAlignment w:val="center"/>
      </w:pPr>
      <w:r>
        <w:rPr>
          <w:rFonts w:hint="eastAsia"/>
          <w:lang w:val="en-US" w:eastAsia="zh-CN"/>
        </w:rPr>
        <w:t>11</w:t>
      </w:r>
      <w:r>
        <w:t>．C    </w:t>
      </w:r>
      <w:r>
        <w:rPr>
          <w:rFonts w:hint="eastAsia"/>
          <w:lang w:val="en-US" w:eastAsia="zh-CN"/>
        </w:rPr>
        <w:t>12</w:t>
      </w:r>
      <w:r>
        <w:t>．D</w:t>
      </w:r>
    </w:p>
    <w:p>
      <w:pPr>
        <w:shd w:val="clear" w:color="auto" w:fill="auto"/>
        <w:spacing w:line="360" w:lineRule="auto"/>
        <w:jc w:val="left"/>
        <w:textAlignment w:val="center"/>
      </w:pPr>
      <w:r>
        <w:rPr>
          <w:rFonts w:hint="eastAsia"/>
          <w:lang w:val="en-US" w:eastAsia="zh-CN"/>
        </w:rPr>
        <w:t>11</w:t>
      </w:r>
      <w:r>
        <w:t>．从材料可知，“空心村”现象的很多基地处于空置状态，主体居民是妇女、儿童、老人，故其主要是缺少青壮年劳动力，房屋空置土地资源并非紧张，矿产及水资源未能体现，C正确，排除ABD选项。故选C。</w:t>
      </w:r>
    </w:p>
    <w:p>
      <w:pPr>
        <w:shd w:val="clear" w:color="auto" w:fill="auto"/>
        <w:spacing w:line="360" w:lineRule="auto"/>
        <w:jc w:val="left"/>
        <w:textAlignment w:val="center"/>
      </w:pPr>
      <w:r>
        <w:rPr>
          <w:rFonts w:hint="eastAsia"/>
          <w:lang w:val="en-US" w:eastAsia="zh-CN"/>
        </w:rPr>
        <w:t>12</w:t>
      </w:r>
      <w:r>
        <w:t>．我国农村空心化现象的主要原因是农村劳动力外迁务工或经商，伴随出现的是城市地区的郊区城市化，造成农村人口在年龄结构上的极不合理分布，农村主要居民是妇女儿童和老人，其耕作的劳动力越发减少，故应</w:t>
      </w:r>
      <w:r>
        <w:rPr>
          <w:rFonts w:hint="eastAsia"/>
          <w:lang w:val="en-US" w:eastAsia="zh-CN"/>
        </w:rPr>
        <w:t>因地制宜，发展特色产业</w:t>
      </w:r>
      <w:r>
        <w:t>，</w:t>
      </w:r>
      <w:r>
        <w:rPr>
          <w:rFonts w:hint="eastAsia"/>
          <w:lang w:val="en-US" w:eastAsia="zh-CN"/>
        </w:rPr>
        <w:t>减少外迁人口，</w:t>
      </w:r>
      <w:r>
        <w:t>减少土地撂荒率，D选项正确。强行推广大型农业机械，并不一定符合当地实际发展，地形陡峭地区难以推广大型农业机械，A选项错误。禁止人口迁入城市，并不符合我国经济发展的需要，B选项错误。开展乡村旅游需乡村有一定基础设施，同时有一定旅游自然风貌或人文景观，全面开展并不符合实际发展需要，C选项错误。故选D。</w:t>
      </w:r>
    </w:p>
    <w:p>
      <w:pPr>
        <w:shd w:val="clear" w:color="auto" w:fill="auto"/>
        <w:spacing w:line="360" w:lineRule="auto"/>
        <w:jc w:val="left"/>
        <w:textAlignment w:val="center"/>
      </w:pPr>
      <w:r>
        <w:t>13．D    14．B</w:t>
      </w:r>
    </w:p>
    <w:p>
      <w:pPr>
        <w:shd w:val="clear" w:color="auto" w:fill="auto"/>
        <w:spacing w:line="360" w:lineRule="auto"/>
        <w:jc w:val="left"/>
        <w:textAlignment w:val="center"/>
      </w:pPr>
      <w:r>
        <w:t>13．读图，该地区乡村土地1987年到2010年传统住宅区基本没有发生变化，现代住宅区增加，2010年到2017年传统住宅区变小，现代住宅区增加，但总体住宅区面积2017年和2010年相差不大，故A项错误；随着非农业用地的增加和农业的发展，农业用地类型应向多样化方向发展，故B项错误；商业用地对交通通达度的依赖性较高，故C项错误；图示1987-2017年工业用地规模扩大，故D项正确。故选D。</w:t>
      </w:r>
    </w:p>
    <w:p>
      <w:pPr>
        <w:shd w:val="clear" w:color="auto" w:fill="auto"/>
        <w:spacing w:line="360" w:lineRule="auto"/>
        <w:jc w:val="left"/>
        <w:textAlignment w:val="center"/>
      </w:pPr>
      <w:r>
        <w:t>14．自然地理条件对商业区的分布影响较小，A错误；商业利润高，付租能力强，从经济因素考虑商业区一般分布在区域中心，历史文化因素是土地利用类型形成的基础，中心区保留了公共服务区，原商业用地的分布决定了现在的商业区的分布，B正确，C错误；区域中心交通通达度较高，从交通运输状况考虑，商业区应分布在区域中心，故D错误。故选B。</w:t>
      </w:r>
    </w:p>
    <w:p>
      <w:pPr>
        <w:shd w:val="clear" w:color="auto" w:fill="auto"/>
        <w:spacing w:line="360" w:lineRule="auto"/>
        <w:jc w:val="left"/>
        <w:textAlignment w:val="center"/>
      </w:pPr>
      <w:r>
        <w:t>15．A    16．D</w:t>
      </w:r>
    </w:p>
    <w:p>
      <w:pPr>
        <w:shd w:val="clear" w:color="auto" w:fill="auto"/>
        <w:spacing w:line="360" w:lineRule="auto"/>
        <w:jc w:val="left"/>
        <w:textAlignment w:val="center"/>
      </w:pPr>
      <w:r>
        <w:t>15．该地区山高坡陡，谷深河长，依据地形等自然地理环境差异，形成不同土地利用方式，①对；山区重点发展农业，缓坡稻田发展种植业，河流发展渔业，因此不同区域农业经济发展侧重点不同，②对；黔东南苗岭山区都属于山高坡陡，谷深河长的地形，自然地理环境相似，村落布局差异较小，③错；该地区在自然地理环境相似的情况下，形成世代相传的耕作实践方式和区域“森林一河流一稻田一村落”管理维护的文化体系，稻田管理维护文化体系相似，④错；①②对，排除BCD；A符合题意，故选A。</w:t>
      </w:r>
    </w:p>
    <w:p>
      <w:pPr>
        <w:shd w:val="clear" w:color="auto" w:fill="auto"/>
        <w:spacing w:line="360" w:lineRule="auto"/>
        <w:jc w:val="left"/>
        <w:textAlignment w:val="center"/>
      </w:pPr>
      <w:r>
        <w:t>16．黔东南苗岭山区稻作梯田空间组合类型反映出该地区人类活动改造地理环境，人地和谐，A错；该地区森林面积缩小，原来部分森林改成稻田，林业没有取代稻作，B错；该地区水田没有转为旱地，该地区耕地就是水田，C错；该地区依据地形等自然因素，森林一河流一稻田一村落因地制宜，人地和谐共生，保护生态环境，D对。故选D。</w:t>
      </w:r>
    </w:p>
    <w:p>
      <w:pPr>
        <w:shd w:val="clear" w:color="auto" w:fill="auto"/>
        <w:spacing w:line="360" w:lineRule="auto"/>
        <w:jc w:val="left"/>
        <w:textAlignment w:val="center"/>
        <w:rPr>
          <w:rFonts w:hint="default" w:eastAsia="宋体"/>
          <w:lang w:val="en-US" w:eastAsia="zh-CN"/>
        </w:rPr>
      </w:pPr>
      <w:r>
        <w:t>17．</w:t>
      </w:r>
      <w:r>
        <w:rPr>
          <w:rFonts w:hint="eastAsia"/>
          <w:lang w:eastAsia="zh-CN"/>
        </w:rPr>
        <w:t>（</w:t>
      </w:r>
      <w:r>
        <w:rPr>
          <w:rFonts w:hint="eastAsia"/>
          <w:lang w:val="en-US" w:eastAsia="zh-CN"/>
        </w:rPr>
        <w:t>16分）</w:t>
      </w:r>
    </w:p>
    <w:p>
      <w:pPr>
        <w:shd w:val="clear" w:color="auto" w:fill="auto"/>
        <w:spacing w:line="360" w:lineRule="auto"/>
        <w:jc w:val="left"/>
        <w:textAlignment w:val="center"/>
        <w:rPr>
          <w:rFonts w:hint="default" w:eastAsia="宋体"/>
          <w:lang w:val="en-US" w:eastAsia="zh-CN"/>
        </w:rPr>
      </w:pPr>
      <w:r>
        <w:t>(1)早期，太行山地区地形平坦，形成曲流现象</w:t>
      </w:r>
      <w:r>
        <w:rPr>
          <w:rFonts w:hint="eastAsia"/>
          <w:lang w:eastAsia="zh-CN"/>
        </w:rPr>
        <w:t>；</w:t>
      </w:r>
      <w:r>
        <w:t>随着地壳的整体抬升，流水沿着曲流的河床侵蚀下切</w:t>
      </w:r>
      <w:r>
        <w:rPr>
          <w:rFonts w:hint="eastAsia"/>
          <w:lang w:eastAsia="zh-CN"/>
        </w:rPr>
        <w:t>，</w:t>
      </w:r>
      <w:bookmarkStart w:id="0" w:name="_GoBack"/>
      <w:bookmarkEnd w:id="0"/>
      <w:r>
        <w:t>形成峡谷（曲峡地貌）。</w:t>
      </w:r>
      <w:r>
        <w:rPr>
          <w:rFonts w:hint="eastAsia"/>
          <w:lang w:eastAsia="zh-CN"/>
        </w:rPr>
        <w:t>（</w:t>
      </w:r>
      <w:r>
        <w:rPr>
          <w:rFonts w:hint="eastAsia"/>
          <w:lang w:val="en-US" w:eastAsia="zh-CN"/>
        </w:rPr>
        <w:t>4分）</w:t>
      </w:r>
    </w:p>
    <w:p>
      <w:pPr>
        <w:shd w:val="clear" w:color="auto" w:fill="auto"/>
        <w:spacing w:line="360" w:lineRule="auto"/>
        <w:jc w:val="left"/>
        <w:textAlignment w:val="center"/>
        <w:rPr>
          <w:rFonts w:hint="default" w:eastAsia="宋体"/>
          <w:lang w:val="en-US" w:eastAsia="zh-CN"/>
        </w:rPr>
      </w:pPr>
      <w:r>
        <w:t>(2)河湾凸岸的水流速度较缓，以沉积作用为主；地形平坦，土地肥沃；河岸不易崩塌，居住环境较为交全。</w:t>
      </w:r>
      <w:r>
        <w:rPr>
          <w:rFonts w:hint="eastAsia"/>
          <w:lang w:eastAsia="zh-CN"/>
        </w:rPr>
        <w:t>（</w:t>
      </w:r>
      <w:r>
        <w:rPr>
          <w:rFonts w:hint="eastAsia"/>
          <w:lang w:val="en-US" w:eastAsia="zh-CN"/>
        </w:rPr>
        <w:t>6分）</w:t>
      </w:r>
    </w:p>
    <w:p>
      <w:pPr>
        <w:shd w:val="clear" w:color="auto" w:fill="auto"/>
        <w:spacing w:line="360" w:lineRule="auto"/>
        <w:jc w:val="left"/>
        <w:textAlignment w:val="center"/>
      </w:pPr>
      <w:r>
        <w:t>(3)拒马河的水量大，流速快，不利于修桥；河湾处河面展宽，水流受到阻挡，流速减慢，便于舟楫往来；河湾处的村落聚集，人口较多，设立渡口便于居民出行。</w:t>
      </w:r>
      <w:r>
        <w:rPr>
          <w:rFonts w:hint="eastAsia"/>
          <w:lang w:eastAsia="zh-CN"/>
        </w:rPr>
        <w:t>（</w:t>
      </w:r>
      <w:r>
        <w:rPr>
          <w:rFonts w:hint="eastAsia"/>
          <w:lang w:val="en-US" w:eastAsia="zh-CN"/>
        </w:rPr>
        <w:t>6分）</w:t>
      </w:r>
    </w:p>
    <w:p>
      <w:pPr>
        <w:shd w:val="clear" w:color="auto" w:fill="auto"/>
        <w:spacing w:line="360" w:lineRule="auto"/>
        <w:jc w:val="left"/>
        <w:textAlignment w:val="center"/>
        <w:rPr>
          <w:rFonts w:hint="default" w:eastAsia="宋体"/>
          <w:lang w:val="en-US" w:eastAsia="zh-CN"/>
        </w:rPr>
      </w:pPr>
      <w:r>
        <w:t>18．</w:t>
      </w:r>
      <w:r>
        <w:rPr>
          <w:rFonts w:hint="eastAsia"/>
          <w:lang w:eastAsia="zh-CN"/>
        </w:rPr>
        <w:t>（</w:t>
      </w:r>
      <w:r>
        <w:rPr>
          <w:rFonts w:hint="eastAsia"/>
          <w:lang w:val="en-US" w:eastAsia="zh-CN"/>
        </w:rPr>
        <w:t>16分）</w:t>
      </w:r>
    </w:p>
    <w:p>
      <w:pPr>
        <w:shd w:val="clear" w:color="auto" w:fill="auto"/>
        <w:spacing w:line="360" w:lineRule="auto"/>
        <w:jc w:val="left"/>
        <w:textAlignment w:val="center"/>
      </w:pPr>
      <w:r>
        <w:t>(1)城市中心区降水量多于郊外平原区；城市中心气温高，形成上升气流。</w:t>
      </w:r>
      <w:r>
        <w:rPr>
          <w:rFonts w:hint="eastAsia"/>
          <w:lang w:eastAsia="zh-CN"/>
        </w:rPr>
        <w:t>（</w:t>
      </w:r>
      <w:r>
        <w:rPr>
          <w:rFonts w:hint="eastAsia"/>
          <w:lang w:val="en-US" w:eastAsia="zh-CN"/>
        </w:rPr>
        <w:t>4分）</w:t>
      </w:r>
    </w:p>
    <w:p>
      <w:pPr>
        <w:shd w:val="clear" w:color="auto" w:fill="auto"/>
        <w:spacing w:line="360" w:lineRule="auto"/>
        <w:jc w:val="left"/>
        <w:textAlignment w:val="center"/>
      </w:pPr>
      <w:r>
        <w:t>(2)城市中心区降水多</w:t>
      </w:r>
      <w:r>
        <w:rPr>
          <w:rFonts w:hint="eastAsia"/>
          <w:lang w:eastAsia="zh-CN"/>
        </w:rPr>
        <w:t>；</w:t>
      </w:r>
      <w:r>
        <w:t>下渗量少</w:t>
      </w:r>
      <w:r>
        <w:rPr>
          <w:rFonts w:hint="eastAsia"/>
          <w:lang w:eastAsia="zh-CN"/>
        </w:rPr>
        <w:t>，</w:t>
      </w:r>
      <w:r>
        <w:t>转化为地表径流多</w:t>
      </w:r>
      <w:r>
        <w:rPr>
          <w:rFonts w:hint="eastAsia"/>
          <w:lang w:eastAsia="zh-CN"/>
        </w:rPr>
        <w:t>；</w:t>
      </w:r>
      <w:r>
        <w:t>超过了排水能力，形成内涝。</w:t>
      </w:r>
      <w:r>
        <w:rPr>
          <w:rFonts w:hint="eastAsia"/>
          <w:lang w:eastAsia="zh-CN"/>
        </w:rPr>
        <w:t>（</w:t>
      </w:r>
      <w:r>
        <w:rPr>
          <w:rFonts w:hint="eastAsia"/>
          <w:lang w:val="en-US" w:eastAsia="zh-CN"/>
        </w:rPr>
        <w:t>6分）</w:t>
      </w:r>
    </w:p>
    <w:p>
      <w:pPr>
        <w:shd w:val="clear" w:color="auto" w:fill="auto"/>
        <w:spacing w:line="360" w:lineRule="auto"/>
        <w:jc w:val="left"/>
        <w:textAlignment w:val="center"/>
      </w:pPr>
      <w:r>
        <w:t>(3)增加城市绿地；使用透水砖（增加通透式路面）；改善城市排水系统。</w:t>
      </w:r>
      <w:r>
        <w:rPr>
          <w:rFonts w:hint="eastAsia"/>
          <w:lang w:eastAsia="zh-CN"/>
        </w:rPr>
        <w:t>（</w:t>
      </w:r>
      <w:r>
        <w:rPr>
          <w:rFonts w:hint="eastAsia"/>
          <w:lang w:val="en-US" w:eastAsia="zh-CN"/>
        </w:rPr>
        <w:t>6分）</w:t>
      </w:r>
    </w:p>
    <w:p>
      <w:pPr>
        <w:shd w:val="clear" w:color="auto" w:fill="auto"/>
        <w:spacing w:line="360" w:lineRule="auto"/>
        <w:jc w:val="left"/>
        <w:textAlignment w:val="center"/>
        <w:rPr>
          <w:rFonts w:hint="default" w:eastAsia="宋体"/>
          <w:lang w:val="en-US" w:eastAsia="zh-CN"/>
        </w:rPr>
      </w:pPr>
      <w:r>
        <w:t>19．</w:t>
      </w:r>
      <w:r>
        <w:rPr>
          <w:rFonts w:hint="eastAsia"/>
          <w:lang w:eastAsia="zh-CN"/>
        </w:rPr>
        <w:t>（</w:t>
      </w:r>
      <w:r>
        <w:rPr>
          <w:rFonts w:hint="eastAsia"/>
          <w:lang w:val="en-US" w:eastAsia="zh-CN"/>
        </w:rPr>
        <w:t>20分）</w:t>
      </w:r>
    </w:p>
    <w:p>
      <w:pPr>
        <w:shd w:val="clear" w:color="auto" w:fill="auto"/>
        <w:spacing w:line="360" w:lineRule="auto"/>
        <w:jc w:val="left"/>
        <w:textAlignment w:val="center"/>
      </w:pPr>
      <w:r>
        <w:t>(1)城市数量多，规模小；以中、小城市为主；人口空间分布较均衡。</w:t>
      </w:r>
      <w:r>
        <w:rPr>
          <w:rFonts w:hint="eastAsia"/>
          <w:lang w:eastAsia="zh-CN"/>
        </w:rPr>
        <w:t>（</w:t>
      </w:r>
      <w:r>
        <w:rPr>
          <w:rFonts w:hint="eastAsia"/>
          <w:lang w:val="en-US" w:eastAsia="zh-CN"/>
        </w:rPr>
        <w:t>6分）</w:t>
      </w:r>
    </w:p>
    <w:p>
      <w:pPr>
        <w:shd w:val="clear" w:color="auto" w:fill="auto"/>
        <w:spacing w:line="360" w:lineRule="auto"/>
        <w:jc w:val="left"/>
        <w:textAlignment w:val="center"/>
      </w:pPr>
      <w:r>
        <w:t>(2)地形总体较低平；气候温和适宜（或自然条件恶劣地区占比较少）；经济发达且均衡；各地交通便利，基础设施完善。</w:t>
      </w:r>
      <w:r>
        <w:rPr>
          <w:rFonts w:hint="eastAsia"/>
          <w:lang w:eastAsia="zh-CN"/>
        </w:rPr>
        <w:t>（</w:t>
      </w:r>
      <w:r>
        <w:rPr>
          <w:rFonts w:hint="eastAsia"/>
          <w:lang w:val="en-US" w:eastAsia="zh-CN"/>
        </w:rPr>
        <w:t>8分）</w:t>
      </w:r>
    </w:p>
    <w:p>
      <w:pPr>
        <w:shd w:val="clear" w:color="auto" w:fill="auto"/>
        <w:spacing w:line="360" w:lineRule="auto"/>
        <w:jc w:val="left"/>
        <w:textAlignment w:val="center"/>
      </w:pPr>
      <w:r>
        <w:t>(3)避免人口过于集中在大城市；避免加重大城市的环境问题、交通问题居住问题和其他社会问题等（产生城市病）；可以分散大城市职能，实现大、中、小城市均衡发展，提高区域整体城市化水平。</w:t>
      </w:r>
      <w:r>
        <w:rPr>
          <w:rFonts w:hint="eastAsia"/>
          <w:lang w:eastAsia="zh-CN"/>
        </w:rPr>
        <w:t>（</w:t>
      </w:r>
      <w:r>
        <w:rPr>
          <w:rFonts w:hint="eastAsia"/>
          <w:lang w:val="en-US" w:eastAsia="zh-CN"/>
        </w:rPr>
        <w:t>6分）</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3CDC1694"/>
    <w:rsid w:val="05BD626F"/>
    <w:rsid w:val="3CDC1694"/>
    <w:rsid w:val="4F937DBC"/>
    <w:rsid w:val="6D9A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2023-03-11T02:13:00Z</dcterms:created>
  <dc:creator>何孟</dc:creator>
  <cp:lastModifiedBy>何孟</cp:lastModifiedBy>
  <dcterms:modified xsi:type="dcterms:W3CDTF">2023-03-14T08:15:44Z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9B02F377476F494987A494F45D07F445</vt:lpwstr>
  </property>
</Properties>
</file>